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Пам</w:t>
      </w:r>
      <w:bookmarkStart w:id="0" w:name="_GoBack"/>
      <w:bookmarkEnd w:id="0"/>
      <w:r w:rsidRPr="00BC3670">
        <w:rPr>
          <w:rFonts w:ascii="Times New Roman" w:eastAsia="Times New Roman" w:hAnsi="Times New Roman" w:cs="Times New Roman"/>
          <w:sz w:val="24"/>
          <w:szCs w:val="24"/>
          <w:lang w:eastAsia="ru-RU"/>
        </w:rPr>
        <w:t xml:space="preserve">ятка для предпринимателей по </w:t>
      </w:r>
      <w:proofErr w:type="gramStart"/>
      <w:r w:rsidRPr="00BC3670">
        <w:rPr>
          <w:rFonts w:ascii="Times New Roman" w:eastAsia="Times New Roman" w:hAnsi="Times New Roman" w:cs="Times New Roman"/>
          <w:sz w:val="24"/>
          <w:szCs w:val="24"/>
          <w:lang w:eastAsia="ru-RU"/>
        </w:rPr>
        <w:t>программе:</w:t>
      </w:r>
      <w:r w:rsidRPr="00BC3670">
        <w:rPr>
          <w:rFonts w:ascii="Times New Roman" w:eastAsia="Times New Roman" w:hAnsi="Times New Roman" w:cs="Times New Roman"/>
          <w:sz w:val="24"/>
          <w:szCs w:val="24"/>
          <w:lang w:eastAsia="ru-RU"/>
        </w:rPr>
        <w:br/>
        <w:t>«</w:t>
      </w:r>
      <w:proofErr w:type="gramEnd"/>
      <w:r w:rsidRPr="00BC3670">
        <w:rPr>
          <w:rFonts w:ascii="Times New Roman" w:eastAsia="Times New Roman" w:hAnsi="Times New Roman" w:cs="Times New Roman"/>
          <w:sz w:val="24"/>
          <w:szCs w:val="24"/>
          <w:lang w:eastAsia="ru-RU"/>
        </w:rPr>
        <w:t>Предоставление субсидий субъектам малого и среднего предпринимательства Республики Татарстан – резидентам промышленных площадок муниципального уровня, расположенных на территории Республики Татарстан».</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 субсидии предоставляются субъектам малого и среднего предпринимательства Республики Татарстан – резидентам промышленных площадок муниципального уровня, расположенных на территории Республики Татарстан (далее – промышленные площадки муниципального уровня), соответствующих следующим условиям:</w:t>
      </w:r>
      <w:r w:rsidRPr="00BC3670">
        <w:rPr>
          <w:rFonts w:ascii="Times New Roman" w:eastAsia="Times New Roman" w:hAnsi="Times New Roman" w:cs="Times New Roman"/>
          <w:sz w:val="24"/>
          <w:szCs w:val="24"/>
          <w:lang w:eastAsia="ru-RU"/>
        </w:rPr>
        <w:br/>
        <w:t>- площадь промышленной площадки муниципального уровня составляет не менее 20 тыс. кв. метров;</w:t>
      </w:r>
      <w:r w:rsidRPr="00BC3670">
        <w:rPr>
          <w:rFonts w:ascii="Times New Roman" w:eastAsia="Times New Roman" w:hAnsi="Times New Roman" w:cs="Times New Roman"/>
          <w:sz w:val="24"/>
          <w:szCs w:val="24"/>
          <w:lang w:eastAsia="ru-RU"/>
        </w:rPr>
        <w:br/>
        <w:t>- наличие правоустанавливающего документа, свидетельствующего о праве собственности Республики Татарстан или муниципального образования на объект недвижимости и (или) земельный участок на территории промышленной площадки муниципального уровня (или документа, предполагающего возникновение такого права после сдачи в эксплуатацию созданного объекта недвижимости);</w:t>
      </w:r>
      <w:r w:rsidRPr="00BC3670">
        <w:rPr>
          <w:rFonts w:ascii="Times New Roman" w:eastAsia="Times New Roman" w:hAnsi="Times New Roman" w:cs="Times New Roman"/>
          <w:sz w:val="24"/>
          <w:szCs w:val="24"/>
          <w:lang w:eastAsia="ru-RU"/>
        </w:rPr>
        <w:br/>
        <w:t>- наличие заключения государственной экспертизы проектной документации и результатов инженерных изысканий, а также документа о ее утверждении;</w:t>
      </w:r>
      <w:r w:rsidRPr="00BC3670">
        <w:rPr>
          <w:rFonts w:ascii="Times New Roman" w:eastAsia="Times New Roman" w:hAnsi="Times New Roman" w:cs="Times New Roman"/>
          <w:sz w:val="24"/>
          <w:szCs w:val="24"/>
          <w:lang w:eastAsia="ru-RU"/>
        </w:rPr>
        <w:br/>
        <w:t>- наличие положительного заключения о достоверности сметной стоимости объекта капитального строительства на территории промышленной площадки муниципального уровня;</w:t>
      </w:r>
      <w:r w:rsidRPr="00BC3670">
        <w:rPr>
          <w:rFonts w:ascii="Times New Roman" w:eastAsia="Times New Roman" w:hAnsi="Times New Roman" w:cs="Times New Roman"/>
          <w:sz w:val="24"/>
          <w:szCs w:val="24"/>
          <w:lang w:eastAsia="ru-RU"/>
        </w:rPr>
        <w:br/>
        <w:t>- наличие сводного сметного расчета на проведение строительства или капитального ремонта объектов на территории промышленной площадки муниципального уровня;</w:t>
      </w:r>
      <w:r w:rsidRPr="00BC3670">
        <w:rPr>
          <w:rFonts w:ascii="Times New Roman" w:eastAsia="Times New Roman" w:hAnsi="Times New Roman" w:cs="Times New Roman"/>
          <w:sz w:val="24"/>
          <w:szCs w:val="24"/>
          <w:lang w:eastAsia="ru-RU"/>
        </w:rPr>
        <w:br/>
        <w:t>- наличие бизнес-плана создания и (или) развития промышленной площадки муниципального уровня по форме, утвержденной Уполномоченным органом;</w:t>
      </w:r>
      <w:r w:rsidRPr="00BC3670">
        <w:rPr>
          <w:rFonts w:ascii="Times New Roman" w:eastAsia="Times New Roman" w:hAnsi="Times New Roman" w:cs="Times New Roman"/>
          <w:sz w:val="24"/>
          <w:szCs w:val="24"/>
          <w:lang w:eastAsia="ru-RU"/>
        </w:rPr>
        <w:br/>
        <w:t>- наличие концепции создания и (или) развития промышленной площадки муниципального уровня, включающей, в том числе, определение целей и задач, целесообразности и предпосылок создания промышленной площадки муниципального уровня, определение спроса на услуги промышленной площадки муниципального уровня, обоснования основных показателей промышленной площадки муниципального уровня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промышленной площадки муниципального уровня), анализ потребностей ее потенциальных резидентов, определение источников и условий финансирования создания промышленной площадки муниципального уровня, оценку имеющихся и возможных рисков, оценку результативности и эффективности создания промышленной площадки муниципального уровня по форме, утвержденной Уполномоченным органом;</w:t>
      </w:r>
      <w:r w:rsidRPr="00BC3670">
        <w:rPr>
          <w:rFonts w:ascii="Times New Roman" w:eastAsia="Times New Roman" w:hAnsi="Times New Roman" w:cs="Times New Roman"/>
          <w:sz w:val="24"/>
          <w:szCs w:val="24"/>
          <w:lang w:eastAsia="ru-RU"/>
        </w:rPr>
        <w:br/>
        <w:t>- наличие финансовой модели проекта создания и (или) развития промышленной площадки муниципального уровня;</w:t>
      </w:r>
      <w:r w:rsidRPr="00BC3670">
        <w:rPr>
          <w:rFonts w:ascii="Times New Roman" w:eastAsia="Times New Roman" w:hAnsi="Times New Roman" w:cs="Times New Roman"/>
          <w:sz w:val="24"/>
          <w:szCs w:val="24"/>
          <w:lang w:eastAsia="ru-RU"/>
        </w:rPr>
        <w:br/>
        <w:t>- наличие предварительных и (или) заключенных соглашений с резидентами промышленной площадки муниципального уровня, подтверждающих, что не менее чем 20 процентов общей площади зданий на территории промышленной площадки муниципального уровня предполагается для размещения производств указанных резидентов либо не менее чем 20 процентов общей площади земельных участков промышленной площадки муниципального уровня предполагается для размещения производств данных резидентов.</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СУБСИДИИ ПРЕДОСТАВЛЯЮТСЯ СУБЪЕКТАМ ПРЕДПРИНИМАТЕЛЬСТВА ДЛЯ ВОЗМЕЩЕНИЯ ЗАТРАТ, СВЯЗАННЫХ С АРЕНДОЙ И (ИЛИ) ВЫКУПОМ НЕДВИЖИМОСТИ НА ТЕРРИТОРИИ ПРОМЫШЛЕННЫХ ПЛОЩАДОК МУНИЦИПАЛЬНОГО УРОВНЯ.</w:t>
      </w:r>
      <w:r w:rsidRPr="00BC3670">
        <w:rPr>
          <w:rFonts w:ascii="Times New Roman" w:eastAsia="Times New Roman" w:hAnsi="Times New Roman" w:cs="Times New Roman"/>
          <w:sz w:val="24"/>
          <w:szCs w:val="24"/>
          <w:lang w:eastAsia="ru-RU"/>
        </w:rPr>
        <w:br/>
        <w:t xml:space="preserve">- СУБСИДИИ, СВЯЗАННЫЕ С АРЕНДОЙ НЕДВИЖИМОСТИ НА ТЕРРИТОРИИ </w:t>
      </w:r>
      <w:r w:rsidRPr="00BC3670">
        <w:rPr>
          <w:rFonts w:ascii="Times New Roman" w:eastAsia="Times New Roman" w:hAnsi="Times New Roman" w:cs="Times New Roman"/>
          <w:sz w:val="24"/>
          <w:szCs w:val="24"/>
          <w:lang w:eastAsia="ru-RU"/>
        </w:rPr>
        <w:lastRenderedPageBreak/>
        <w:t>ПРОМЫШЛЕННЫХ ПЛОЩАДОК МУНИЦИПАЛЬНОГО УРОВНЯ, ПРЕДОСТАВЛЯЮТСЯ В РАЗМЕРЕ НЕ БОЛЕЕ 25 ПРОЦЕНТОВ ОТ СУММЫ ЗАТРАТ НА УПЛАТУ АРЕНДНОЙ ПЛАТЫ ЗА ЗЕМЕЛЬНЫЕ УЧАСТКИ (ОБЪЕКТЫ НЕДВИЖИМОСТИ), НО НЕ БОЛЕЕ 1 МЛН. РУБЛЕЙ.</w:t>
      </w:r>
      <w:r w:rsidRPr="00BC3670">
        <w:rPr>
          <w:rFonts w:ascii="Times New Roman" w:eastAsia="Times New Roman" w:hAnsi="Times New Roman" w:cs="Times New Roman"/>
          <w:sz w:val="24"/>
          <w:szCs w:val="24"/>
          <w:lang w:eastAsia="ru-RU"/>
        </w:rPr>
        <w:br/>
        <w:t>- СУБСИДИИ, СВЯЗАННЫЕ С ВЫКУПОМ НЕДВИЖИМОСТИ НА ТЕРРИТОРИИ ПРОМЫШЛЕННЫХ ПЛОЩАДОК МУНИЦИПАЛЬНОГО УРОВНЯ, ПРЕДОСТАВЛЯЮТСЯ В РАЗМЕРЕ НЕ БОЛЕЕ 25 ПРОЦЕНТОВ ОТ СУММЫ ЗАТРАТ НА ВЫКУП ЗЕМЕЛЬНЫХ УЧАСТКОВ (ОБЪЕКТОВ НЕДВИЖИМОСТИ), НО НЕ БОЛЕЕ 5 МЛН. РУБЛЕЙ.</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КОНКУРСНАЯ ЗАЯВКА ВКЛЮЧАЕТ В СЕБЯ СЛЕДУЮЩИЙ ПЕРЕЧЕНЬ ДОКУМЕНТОВ:</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 заявление на предоставление субсидии по форме, утвержденной Уполномоченным органом;</w:t>
      </w:r>
      <w:r w:rsidRPr="00BC3670">
        <w:rPr>
          <w:rFonts w:ascii="Times New Roman" w:eastAsia="Times New Roman" w:hAnsi="Times New Roman" w:cs="Times New Roman"/>
          <w:sz w:val="24"/>
          <w:szCs w:val="24"/>
          <w:lang w:eastAsia="ru-RU"/>
        </w:rPr>
        <w:br/>
        <w:t>- соглашение о ведении деятельности на промышленных площадках муниципального уровня;</w:t>
      </w:r>
      <w:r w:rsidRPr="00BC3670">
        <w:rPr>
          <w:rFonts w:ascii="Times New Roman" w:eastAsia="Times New Roman" w:hAnsi="Times New Roman" w:cs="Times New Roman"/>
          <w:sz w:val="24"/>
          <w:szCs w:val="24"/>
          <w:lang w:eastAsia="ru-RU"/>
        </w:rPr>
        <w:br/>
        <w:t>- учредительные документы юридического лица;</w:t>
      </w:r>
      <w:r w:rsidRPr="00BC3670">
        <w:rPr>
          <w:rFonts w:ascii="Times New Roman" w:eastAsia="Times New Roman" w:hAnsi="Times New Roman" w:cs="Times New Roman"/>
          <w:sz w:val="24"/>
          <w:szCs w:val="24"/>
          <w:lang w:eastAsia="ru-RU"/>
        </w:rPr>
        <w:br/>
        <w:t>- уведомление субъекта предпринимательства о том, что он не является получателем аналогичной государственной финансовой поддержки на момент подачи заявки;</w:t>
      </w:r>
      <w:r w:rsidRPr="00BC3670">
        <w:rPr>
          <w:rFonts w:ascii="Times New Roman" w:eastAsia="Times New Roman" w:hAnsi="Times New Roman" w:cs="Times New Roman"/>
          <w:sz w:val="24"/>
          <w:szCs w:val="24"/>
          <w:lang w:eastAsia="ru-RU"/>
        </w:rPr>
        <w:br/>
        <w:t>- договор аренды земельного участка (объекта недвижимости), расположенного на территории промышленной площадки муниципального уровня, заключенный субъектом предпринимательства (в случае субсидирования затрат, связанных с арендой недвижимости на территории промышленных площадок муниципального уровня);</w:t>
      </w:r>
      <w:r w:rsidRPr="00BC3670">
        <w:rPr>
          <w:rFonts w:ascii="Times New Roman" w:eastAsia="Times New Roman" w:hAnsi="Times New Roman" w:cs="Times New Roman"/>
          <w:sz w:val="24"/>
          <w:szCs w:val="24"/>
          <w:lang w:eastAsia="ru-RU"/>
        </w:rPr>
        <w:br/>
        <w:t>- заключенный субъектом предпринимательства договор купли-продажи земельного участка (объекта недвижимости), расположенного на территории промышленной площадки муниципального уровня, предусматривающий оплату выкупа земельного участка (объекта недвижимости), и свидетельство о государственной регистрации права собственности субъекта предпринимательства на указанный земельный участок (объект недвижимости) (в случае субсидирования затрат, связанных с выкупом недвижимости на территории промышленных площадок муниципального уровня);</w:t>
      </w:r>
      <w:r w:rsidRPr="00BC3670">
        <w:rPr>
          <w:rFonts w:ascii="Times New Roman" w:eastAsia="Times New Roman" w:hAnsi="Times New Roman" w:cs="Times New Roman"/>
          <w:sz w:val="24"/>
          <w:szCs w:val="24"/>
          <w:lang w:eastAsia="ru-RU"/>
        </w:rPr>
        <w:br/>
        <w:t>- платежные поручения, подтверждающие оплату выкупа или арендной платы за земельный участок (объект недвижимости) по договору купли-продажи или аренды, произведенную субъектом предпринимательства;</w:t>
      </w:r>
      <w:r w:rsidRPr="00BC3670">
        <w:rPr>
          <w:rFonts w:ascii="Times New Roman" w:eastAsia="Times New Roman" w:hAnsi="Times New Roman" w:cs="Times New Roman"/>
          <w:sz w:val="24"/>
          <w:szCs w:val="24"/>
          <w:lang w:eastAsia="ru-RU"/>
        </w:rPr>
        <w:br/>
        <w:t>- документы, касающиеся реализации проекта (подтверждающие наличие производственных помещений, ходатайства, копии действующих контрактов, необходимых для реализации проекта, копии лицензий и разрешений, документальные подтверждения статуса резидента промышленной площадки муниципального уровня и т.д.), при наличии.</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Соответствие требованиям, установленным законодательством и настоящим Порядком, определяется на основании информации, содержащейся в следующих документах:</w:t>
      </w:r>
      <w:r w:rsidRPr="00BC3670">
        <w:rPr>
          <w:rFonts w:ascii="Times New Roman" w:eastAsia="Times New Roman" w:hAnsi="Times New Roman" w:cs="Times New Roman"/>
          <w:sz w:val="24"/>
          <w:szCs w:val="24"/>
          <w:lang w:eastAsia="ru-RU"/>
        </w:rPr>
        <w:br/>
        <w:t>- Свидетельство о государственной регистрации субъекта предпринимательства;</w:t>
      </w:r>
      <w:r w:rsidRPr="00BC3670">
        <w:rPr>
          <w:rFonts w:ascii="Times New Roman" w:eastAsia="Times New Roman" w:hAnsi="Times New Roman" w:cs="Times New Roman"/>
          <w:sz w:val="24"/>
          <w:szCs w:val="24"/>
          <w:lang w:eastAsia="ru-RU"/>
        </w:rPr>
        <w:br/>
        <w:t>- Свидетельство о постановке на налоговый учет субъекта предпринимательства;</w:t>
      </w:r>
      <w:r w:rsidRPr="00BC3670">
        <w:rPr>
          <w:rFonts w:ascii="Times New Roman" w:eastAsia="Times New Roman" w:hAnsi="Times New Roman" w:cs="Times New Roman"/>
          <w:sz w:val="24"/>
          <w:szCs w:val="24"/>
          <w:lang w:eastAsia="ru-RU"/>
        </w:rPr>
        <w:br/>
        <w:t>- выписка из Единого государственного реестра юридических лиц;</w:t>
      </w:r>
      <w:r w:rsidRPr="00BC3670">
        <w:rPr>
          <w:rFonts w:ascii="Times New Roman" w:eastAsia="Times New Roman" w:hAnsi="Times New Roman" w:cs="Times New Roman"/>
          <w:sz w:val="24"/>
          <w:szCs w:val="24"/>
          <w:lang w:eastAsia="ru-RU"/>
        </w:rPr>
        <w:br/>
        <w:t>- справка из налогового органа об отсутствии у субъекта предпринимательства задолженности по налогам и сборам на последнюю отчетную дату (кроме субъектов предпринимательства, зарегистрированных в текущем отчетном периоде);</w:t>
      </w:r>
      <w:r w:rsidRPr="00BC3670">
        <w:rPr>
          <w:rFonts w:ascii="Times New Roman" w:eastAsia="Times New Roman" w:hAnsi="Times New Roman" w:cs="Times New Roman"/>
          <w:sz w:val="24"/>
          <w:szCs w:val="24"/>
          <w:lang w:eastAsia="ru-RU"/>
        </w:rPr>
        <w:br/>
        <w:t>- копия бухгалтерской (финансовой) отчетности за отчетные периоды хозяйственной деятельности на последнюю отчетную дату, заверенная субъектом предпринимательства (кроме субъектов предпринимательства, зарегистрированных в текущем отчетном периоде).</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lastRenderedPageBreak/>
        <w:t>ФОРМАЛЬНЫЕ ТРЕБОВАНИЯ К КОНКУРСНОЙ ЗАЯВКЕ:</w:t>
      </w:r>
    </w:p>
    <w:p w:rsidR="00BC3670" w:rsidRPr="00BC3670" w:rsidRDefault="00BC3670" w:rsidP="00BC3670">
      <w:pPr>
        <w:spacing w:before="100" w:beforeAutospacing="1" w:after="100" w:afterAutospacing="1" w:line="240" w:lineRule="auto"/>
        <w:rPr>
          <w:rFonts w:ascii="Times New Roman" w:eastAsia="Times New Roman" w:hAnsi="Times New Roman" w:cs="Times New Roman"/>
          <w:sz w:val="24"/>
          <w:szCs w:val="24"/>
          <w:lang w:eastAsia="ru-RU"/>
        </w:rPr>
      </w:pPr>
      <w:r w:rsidRPr="00BC3670">
        <w:rPr>
          <w:rFonts w:ascii="Times New Roman" w:eastAsia="Times New Roman" w:hAnsi="Times New Roman" w:cs="Times New Roman"/>
          <w:sz w:val="24"/>
          <w:szCs w:val="24"/>
          <w:lang w:eastAsia="ru-RU"/>
        </w:rPr>
        <w:t>1. Все документы заявки должны быть четко напечатаны и заполнены по всем пунктам (в случае отсутствия данных ставится прочерк).</w:t>
      </w:r>
      <w:r w:rsidRPr="00BC3670">
        <w:rPr>
          <w:rFonts w:ascii="Times New Roman" w:eastAsia="Times New Roman" w:hAnsi="Times New Roman" w:cs="Times New Roman"/>
          <w:sz w:val="24"/>
          <w:szCs w:val="24"/>
          <w:lang w:eastAsia="ru-RU"/>
        </w:rPr>
        <w:br/>
        <w:t>2.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r w:rsidRPr="00BC3670">
        <w:rPr>
          <w:rFonts w:ascii="Times New Roman" w:eastAsia="Times New Roman" w:hAnsi="Times New Roman" w:cs="Times New Roman"/>
          <w:sz w:val="24"/>
          <w:szCs w:val="24"/>
          <w:lang w:eastAsia="ru-RU"/>
        </w:rPr>
        <w:br/>
        <w:t>3. Все листы заявки должны быть прошиты и пронумерованы.</w:t>
      </w:r>
      <w:r w:rsidRPr="00BC3670">
        <w:rPr>
          <w:rFonts w:ascii="Times New Roman" w:eastAsia="Times New Roman" w:hAnsi="Times New Roman" w:cs="Times New Roman"/>
          <w:sz w:val="24"/>
          <w:szCs w:val="24"/>
          <w:lang w:eastAsia="ru-RU"/>
        </w:rPr>
        <w:br/>
        <w:t>4. Копии документов должны быть заверены подписью уполномоченного лица и печатью субъекта предпринимательства (для юридических лиц) или собственноручно заверенных (для индивидуальных предпринимателей).</w:t>
      </w:r>
      <w:r w:rsidRPr="00BC3670">
        <w:rPr>
          <w:rFonts w:ascii="Times New Roman" w:eastAsia="Times New Roman" w:hAnsi="Times New Roman" w:cs="Times New Roman"/>
          <w:sz w:val="24"/>
          <w:szCs w:val="24"/>
          <w:lang w:eastAsia="ru-RU"/>
        </w:rPr>
        <w:br/>
        <w:t>5. Заявка должна быть заверена подписью руководителя и печатью сельскохозяйственного потребительского кооператива на обороте заявки с указанием общего количества листов.</w:t>
      </w:r>
    </w:p>
    <w:p w:rsidR="00A83E09" w:rsidRDefault="00BC3670" w:rsidP="00BC3670">
      <w:r w:rsidRPr="00BC3670">
        <w:rPr>
          <w:rFonts w:ascii="Times New Roman" w:eastAsia="Times New Roman" w:hAnsi="Times New Roman" w:cs="Times New Roman"/>
          <w:sz w:val="24"/>
          <w:szCs w:val="24"/>
          <w:lang w:eastAsia="ru-RU"/>
        </w:rPr>
        <w:t>В СЛУЧАЕ НЕНАДЛЕЖАЩЕГО ОФОРМЛЕНИЯ КОНКУРСНОЙ ЗАЯВКИ, НЕХВАТКИ КАКИХ-ЛИБО ДОКУМЕНТОВ ИЛИ НЕСООТВЕТСТВИЯ ПРЕДСТАВЛЕННОЙ ИНФОРМАЦИИ, КОНКУРСНАЯ ЗАЯВКА НЕ БУДЕТ ДОПУЩЕНА К РАССМОТРЕНИЮ КОНКУРСНОЙ КОМИССИЕЙ.</w:t>
      </w:r>
    </w:p>
    <w:sectPr w:rsidR="00A83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70"/>
    <w:rsid w:val="00A83E09"/>
    <w:rsid w:val="00BC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838AC-34EF-4AFA-B674-117721CD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3097">
      <w:bodyDiv w:val="1"/>
      <w:marLeft w:val="0"/>
      <w:marRight w:val="0"/>
      <w:marTop w:val="0"/>
      <w:marBottom w:val="0"/>
      <w:divBdr>
        <w:top w:val="none" w:sz="0" w:space="0" w:color="auto"/>
        <w:left w:val="none" w:sz="0" w:space="0" w:color="auto"/>
        <w:bottom w:val="none" w:sz="0" w:space="0" w:color="auto"/>
        <w:right w:val="none" w:sz="0" w:space="0" w:color="auto"/>
      </w:divBdr>
      <w:divsChild>
        <w:div w:id="1210150848">
          <w:marLeft w:val="0"/>
          <w:marRight w:val="0"/>
          <w:marTop w:val="0"/>
          <w:marBottom w:val="0"/>
          <w:divBdr>
            <w:top w:val="none" w:sz="0" w:space="0" w:color="auto"/>
            <w:left w:val="none" w:sz="0" w:space="0" w:color="auto"/>
            <w:bottom w:val="none" w:sz="0" w:space="0" w:color="auto"/>
            <w:right w:val="none" w:sz="0" w:space="0" w:color="auto"/>
          </w:divBdr>
          <w:divsChild>
            <w:div w:id="1216432480">
              <w:marLeft w:val="0"/>
              <w:marRight w:val="0"/>
              <w:marTop w:val="0"/>
              <w:marBottom w:val="0"/>
              <w:divBdr>
                <w:top w:val="none" w:sz="0" w:space="0" w:color="auto"/>
                <w:left w:val="none" w:sz="0" w:space="0" w:color="auto"/>
                <w:bottom w:val="none" w:sz="0" w:space="0" w:color="auto"/>
                <w:right w:val="none" w:sz="0" w:space="0" w:color="auto"/>
              </w:divBdr>
              <w:divsChild>
                <w:div w:id="1454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2014-12-23T12:08:00Z</dcterms:created>
  <dcterms:modified xsi:type="dcterms:W3CDTF">2014-12-23T12:09:00Z</dcterms:modified>
</cp:coreProperties>
</file>